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5B40" w:rsidRPr="00EC5B40" w:rsidRDefault="00EC5B40" w:rsidP="00EC5B40">
      <w:pPr>
        <w:pStyle w:val="Title"/>
        <w:jc w:val="center"/>
        <w:rPr>
          <w:sz w:val="44"/>
          <w:szCs w:val="44"/>
        </w:rPr>
      </w:pPr>
      <w:r w:rsidRPr="00EC5B40">
        <w:rPr>
          <w:sz w:val="44"/>
          <w:szCs w:val="44"/>
        </w:rPr>
        <w:t>The Authority of Sharing: postgraduate blogging in Classics</w:t>
      </w:r>
    </w:p>
    <w:p w:rsidR="00EC5B40" w:rsidRPr="00EC5B40" w:rsidRDefault="00EC5B40" w:rsidP="00EC5B40"/>
    <w:p w:rsidR="00722CD3" w:rsidRDefault="00EC5B40" w:rsidP="00EC5B40">
      <w:pPr>
        <w:jc w:val="center"/>
      </w:pPr>
      <w:r>
        <w:rPr>
          <w:noProof/>
        </w:rPr>
        <w:drawing>
          <wp:inline distT="0" distB="0" distL="0" distR="0" wp14:anchorId="34D4ABAF">
            <wp:extent cx="5353607" cy="6418580"/>
            <wp:effectExtent l="76200" t="76200" r="133350" b="134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74820" cy="644401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C5B40" w:rsidRDefault="00EC5B40"/>
    <w:p w:rsidR="00EC5B40" w:rsidRPr="00EC5B40" w:rsidRDefault="00EC5B40" w:rsidP="00A2068D">
      <w:pPr>
        <w:jc w:val="right"/>
        <w:rPr>
          <w:sz w:val="18"/>
          <w:szCs w:val="18"/>
        </w:rPr>
      </w:pPr>
      <w:r w:rsidRPr="00EC5B40">
        <w:rPr>
          <w:sz w:val="18"/>
          <w:szCs w:val="18"/>
        </w:rPr>
        <w:t xml:space="preserve">From Reid Wilson at </w:t>
      </w:r>
      <w:hyperlink r:id="rId6" w:history="1">
        <w:r w:rsidRPr="00EC5B40">
          <w:rPr>
            <w:rStyle w:val="Hyperlink"/>
            <w:sz w:val="18"/>
            <w:szCs w:val="18"/>
          </w:rPr>
          <w:t>https://wayfaringpath.coetail.com/2014/10/14/the-profile-of-a-modern-teacher/</w:t>
        </w:r>
      </w:hyperlink>
      <w:r w:rsidRPr="00EC5B40">
        <w:rPr>
          <w:sz w:val="18"/>
          <w:szCs w:val="18"/>
        </w:rPr>
        <w:t xml:space="preserve"> </w:t>
      </w:r>
    </w:p>
    <w:p w:rsidR="00EC5B40" w:rsidRDefault="00EC5B40" w:rsidP="00A2068D">
      <w:pPr>
        <w:jc w:val="right"/>
        <w:rPr>
          <w:sz w:val="18"/>
          <w:szCs w:val="18"/>
          <w:u w:val="single"/>
        </w:rPr>
      </w:pPr>
      <w:hyperlink r:id="rId7" w:history="1">
        <w:r w:rsidRPr="00EC5B40">
          <w:rPr>
            <w:rStyle w:val="Hyperlink"/>
            <w:sz w:val="18"/>
            <w:szCs w:val="18"/>
          </w:rPr>
          <w:t>https://creativecommons.org/licenses/by-nc-nd/3.0/</w:t>
        </w:r>
      </w:hyperlink>
    </w:p>
    <w:p w:rsidR="00EC5B40" w:rsidRDefault="00EC5B40">
      <w:pPr>
        <w:rPr>
          <w:sz w:val="18"/>
          <w:szCs w:val="18"/>
          <w:u w:val="single"/>
        </w:rPr>
      </w:pPr>
    </w:p>
    <w:p w:rsidR="00EC5B40" w:rsidRPr="00A2068D" w:rsidRDefault="00A2068D" w:rsidP="00A2068D">
      <w:pPr>
        <w:jc w:val="center"/>
        <w:rPr>
          <w:b/>
          <w:sz w:val="32"/>
          <w:szCs w:val="32"/>
        </w:rPr>
      </w:pPr>
      <w:r w:rsidRPr="00A2068D">
        <w:rPr>
          <w:b/>
          <w:sz w:val="32"/>
          <w:szCs w:val="32"/>
        </w:rPr>
        <w:lastRenderedPageBreak/>
        <w:t>Selected References</w:t>
      </w:r>
    </w:p>
    <w:p w:rsidR="00A2068D" w:rsidRDefault="00A2068D" w:rsidP="00D866F6">
      <w:pPr>
        <w:rPr>
          <w:b/>
        </w:rPr>
      </w:pPr>
    </w:p>
    <w:p w:rsidR="00D866F6" w:rsidRPr="00D866F6" w:rsidRDefault="00D866F6" w:rsidP="00D866F6">
      <w:pPr>
        <w:rPr>
          <w:b/>
        </w:rPr>
      </w:pPr>
      <w:r>
        <w:rPr>
          <w:b/>
        </w:rPr>
        <w:t>Academic blogs</w:t>
      </w:r>
    </w:p>
    <w:p w:rsidR="00D866F6" w:rsidRDefault="00854580" w:rsidP="00D866F6">
      <w:r>
        <w:t>A survey of 100 unofficial academic blogs:</w:t>
      </w:r>
      <w:r w:rsidR="00D866F6">
        <w:t xml:space="preserve"> ‘</w:t>
      </w:r>
      <w:r>
        <w:t>The most common audience was academic (73%) followed by professional (38%), and the least common was researchers (6%), followed by students (15%). The educated public was marginally more common than students at 17% of blogs. We concluded from this analysis that most academic bloggers were actually writing for themselves – or people like themselves – rather than explicitly trying to reach a group of people differently circumstanced</w:t>
      </w:r>
      <w:r w:rsidR="00D866F6">
        <w:t>.’</w:t>
      </w:r>
    </w:p>
    <w:p w:rsidR="00D866F6" w:rsidRDefault="00D866F6" w:rsidP="00D866F6">
      <w:pPr>
        <w:rPr>
          <w:sz w:val="18"/>
          <w:szCs w:val="18"/>
        </w:rPr>
      </w:pPr>
      <w:proofErr w:type="spellStart"/>
      <w:r w:rsidRPr="00D866F6">
        <w:rPr>
          <w:sz w:val="18"/>
          <w:szCs w:val="18"/>
        </w:rPr>
        <w:t>Mewburn</w:t>
      </w:r>
      <w:proofErr w:type="spellEnd"/>
      <w:r w:rsidRPr="00D866F6">
        <w:rPr>
          <w:sz w:val="18"/>
          <w:szCs w:val="18"/>
        </w:rPr>
        <w:t xml:space="preserve">, I. and P. Thomson (2013) ‘Why do academics blog? An analysis of audiences, purposes and challenges’, </w:t>
      </w:r>
      <w:r w:rsidRPr="00D866F6">
        <w:rPr>
          <w:i/>
          <w:sz w:val="18"/>
          <w:szCs w:val="18"/>
        </w:rPr>
        <w:t>Studies in Higher Education</w:t>
      </w:r>
      <w:r w:rsidRPr="00D866F6">
        <w:rPr>
          <w:sz w:val="18"/>
          <w:szCs w:val="18"/>
        </w:rPr>
        <w:t xml:space="preserve"> 38.8, </w:t>
      </w:r>
      <w:r w:rsidR="00854580" w:rsidRPr="00D866F6">
        <w:rPr>
          <w:sz w:val="18"/>
          <w:szCs w:val="18"/>
        </w:rPr>
        <w:t>p.1113.</w:t>
      </w:r>
    </w:p>
    <w:p w:rsidR="00A2068D" w:rsidRDefault="00A2068D" w:rsidP="00A2068D"/>
    <w:p w:rsidR="00A2068D" w:rsidRPr="00A2068D" w:rsidRDefault="00A2068D" w:rsidP="00A2068D">
      <w:pPr>
        <w:rPr>
          <w:b/>
        </w:rPr>
      </w:pPr>
      <w:r>
        <w:rPr>
          <w:b/>
        </w:rPr>
        <w:t>Professional control</w:t>
      </w:r>
    </w:p>
    <w:p w:rsidR="00A2068D" w:rsidRDefault="00A2068D" w:rsidP="00A2068D">
      <w:r>
        <w:t>‘The academic super-hero’, who ‘</w:t>
      </w:r>
      <w:r w:rsidRPr="009A03D3">
        <w:t>must be ready to deal with the multiple uncertainties that beset the higher education sector</w:t>
      </w:r>
      <w:r>
        <w:t xml:space="preserve">… </w:t>
      </w:r>
      <w:r w:rsidRPr="009A03D3">
        <w:t xml:space="preserve"> all the while collecting business cards for that next round of student placements, soothing hurt feelings and smiling graciously at the crowds of prospective students at Open Day while publishing prodigiously and creating innovative learning opportunities for their students across multiple media</w:t>
      </w:r>
      <w:r>
        <w:t xml:space="preserve">’ </w:t>
      </w:r>
    </w:p>
    <w:p w:rsidR="00A2068D" w:rsidRDefault="00A2068D" w:rsidP="00A2068D">
      <w:pPr>
        <w:rPr>
          <w:sz w:val="18"/>
          <w:szCs w:val="18"/>
        </w:rPr>
      </w:pPr>
      <w:r w:rsidRPr="00A2068D">
        <w:rPr>
          <w:sz w:val="18"/>
          <w:szCs w:val="18"/>
        </w:rPr>
        <w:t xml:space="preserve">Pitt, R. and I. </w:t>
      </w:r>
      <w:proofErr w:type="spellStart"/>
      <w:r w:rsidRPr="00A2068D">
        <w:rPr>
          <w:sz w:val="18"/>
          <w:szCs w:val="18"/>
        </w:rPr>
        <w:t>Mewburn</w:t>
      </w:r>
      <w:proofErr w:type="spellEnd"/>
      <w:r w:rsidRPr="00A2068D">
        <w:rPr>
          <w:sz w:val="18"/>
          <w:szCs w:val="18"/>
        </w:rPr>
        <w:t xml:space="preserve"> (2016) ‘Academic superheroes? A critical analysis of academic job descriptions’, </w:t>
      </w:r>
      <w:r w:rsidRPr="00A2068D">
        <w:rPr>
          <w:i/>
          <w:sz w:val="18"/>
          <w:szCs w:val="18"/>
        </w:rPr>
        <w:t>Journal of Higher Education Policy and Management</w:t>
      </w:r>
      <w:r w:rsidRPr="00A2068D">
        <w:rPr>
          <w:sz w:val="18"/>
          <w:szCs w:val="18"/>
        </w:rPr>
        <w:t>, p.99.</w:t>
      </w:r>
    </w:p>
    <w:p w:rsidR="00D866F6" w:rsidRDefault="00D866F6" w:rsidP="00D866F6"/>
    <w:p w:rsidR="00D866F6" w:rsidRPr="00D866F6" w:rsidRDefault="00D866F6" w:rsidP="00D866F6">
      <w:pPr>
        <w:rPr>
          <w:b/>
        </w:rPr>
      </w:pPr>
      <w:r>
        <w:rPr>
          <w:b/>
        </w:rPr>
        <w:t>Postgraduate identity</w:t>
      </w:r>
    </w:p>
    <w:p w:rsidR="00D866F6" w:rsidRDefault="00D866F6" w:rsidP="00D866F6">
      <w:r>
        <w:t>A</w:t>
      </w:r>
      <w:r w:rsidR="00A2068D">
        <w:t xml:space="preserve"> recent</w:t>
      </w:r>
      <w:r>
        <w:t xml:space="preserve"> investigation highlight</w:t>
      </w:r>
      <w:r w:rsidR="00A2068D">
        <w:t>ed</w:t>
      </w:r>
      <w:r>
        <w:t xml:space="preserve"> particular groups </w:t>
      </w:r>
      <w:r>
        <w:t xml:space="preserve">of postgraduates </w:t>
      </w:r>
      <w:r>
        <w:t>at risk for mental health problems due to identity issues: ‘</w:t>
      </w:r>
      <w:r w:rsidRPr="00E97626">
        <w:t>Some learners were uncertain as to how they fitted in and were acutely aware of holding a relatively low status – feelings which were particularly profound in the cases of working-class, mature women, carers, students with disabilities and International students</w:t>
      </w:r>
      <w:r>
        <w:t>’.</w:t>
      </w:r>
    </w:p>
    <w:p w:rsidR="00D866F6" w:rsidRPr="00A2068D" w:rsidRDefault="00D866F6" w:rsidP="00D866F6">
      <w:pPr>
        <w:rPr>
          <w:sz w:val="18"/>
          <w:szCs w:val="18"/>
        </w:rPr>
      </w:pPr>
      <w:r w:rsidRPr="00A2068D">
        <w:rPr>
          <w:sz w:val="18"/>
          <w:szCs w:val="18"/>
        </w:rPr>
        <w:t xml:space="preserve">Morris, C. (2018) ‘Supporting postgraduate student wellbeing and belonging’, </w:t>
      </w:r>
      <w:r w:rsidRPr="00A2068D">
        <w:rPr>
          <w:i/>
          <w:sz w:val="18"/>
          <w:szCs w:val="18"/>
        </w:rPr>
        <w:t>(In)Equitable Academy? A Blog by the Centre for Higher Education and Equity Research</w:t>
      </w:r>
      <w:r w:rsidRPr="00A2068D">
        <w:rPr>
          <w:sz w:val="18"/>
          <w:szCs w:val="18"/>
        </w:rPr>
        <w:t xml:space="preserve">, online at </w:t>
      </w:r>
      <w:hyperlink r:id="rId8" w:history="1">
        <w:r w:rsidRPr="00A2068D">
          <w:rPr>
            <w:rStyle w:val="Hyperlink"/>
            <w:sz w:val="18"/>
            <w:szCs w:val="18"/>
          </w:rPr>
          <w:t>https://equityhe.wordpress.com/2018/08/29/supporting-postgraduate-student-wellbeing-and-belonging/</w:t>
        </w:r>
      </w:hyperlink>
      <w:r w:rsidRPr="00A2068D">
        <w:rPr>
          <w:sz w:val="18"/>
          <w:szCs w:val="18"/>
        </w:rPr>
        <w:t>.</w:t>
      </w:r>
    </w:p>
    <w:p w:rsidR="00A2068D" w:rsidRPr="00A2068D" w:rsidRDefault="00A2068D" w:rsidP="00D866F6">
      <w:pPr>
        <w:rPr>
          <w:sz w:val="18"/>
          <w:szCs w:val="18"/>
        </w:rPr>
      </w:pPr>
    </w:p>
    <w:p w:rsidR="00D866F6" w:rsidRPr="00D866F6" w:rsidRDefault="00D866F6" w:rsidP="00D866F6">
      <w:pPr>
        <w:rPr>
          <w:b/>
        </w:rPr>
      </w:pPr>
      <w:r>
        <w:rPr>
          <w:b/>
        </w:rPr>
        <w:t>Blogging and identity</w:t>
      </w:r>
    </w:p>
    <w:p w:rsidR="00A2068D" w:rsidRDefault="00D866F6" w:rsidP="00D866F6">
      <w:r>
        <w:t>‘…the identities created through traditional kinds of scholarly writing styles embody values and worldviews that run counter to both the identities that students bring to higher education as well as the identities that a more diverse “workforce” of scholars, researchers and teachers now embodies’</w:t>
      </w:r>
      <w:r w:rsidR="00A2068D">
        <w:t xml:space="preserve">. </w:t>
      </w:r>
      <w:r>
        <w:t xml:space="preserve">Blogs offer </w:t>
      </w:r>
      <w:r>
        <w:t>the hope that people who find their</w:t>
      </w:r>
      <w:bookmarkStart w:id="0" w:name="_GoBack"/>
      <w:bookmarkEnd w:id="0"/>
      <w:r>
        <w:t xml:space="preserve"> identity to be in conflict with traditional forms of writing ‘will find that blogging offers them a form of writing which enables them to perform new, and less conflicted, kinds of academic identity’</w:t>
      </w:r>
      <w:r w:rsidR="00A2068D">
        <w:t>.</w:t>
      </w:r>
    </w:p>
    <w:p w:rsidR="00A2068D" w:rsidRPr="00A2068D" w:rsidRDefault="00A2068D" w:rsidP="00A2068D">
      <w:pPr>
        <w:rPr>
          <w:sz w:val="18"/>
          <w:szCs w:val="18"/>
        </w:rPr>
      </w:pPr>
      <w:proofErr w:type="spellStart"/>
      <w:r w:rsidRPr="00A2068D">
        <w:rPr>
          <w:sz w:val="18"/>
          <w:szCs w:val="18"/>
        </w:rPr>
        <w:t>Kirkup</w:t>
      </w:r>
      <w:proofErr w:type="spellEnd"/>
      <w:r w:rsidRPr="00A2068D">
        <w:rPr>
          <w:sz w:val="18"/>
          <w:szCs w:val="18"/>
        </w:rPr>
        <w:t xml:space="preserve">, G. (2010) ‘Academic blogging: academic practice and academic identity’, </w:t>
      </w:r>
      <w:r w:rsidRPr="00A2068D">
        <w:rPr>
          <w:i/>
          <w:sz w:val="18"/>
          <w:szCs w:val="18"/>
        </w:rPr>
        <w:t>London Review of Education</w:t>
      </w:r>
      <w:r w:rsidRPr="00A2068D">
        <w:rPr>
          <w:sz w:val="18"/>
          <w:szCs w:val="18"/>
        </w:rPr>
        <w:t xml:space="preserve"> 8.1, 75-84.</w:t>
      </w:r>
    </w:p>
    <w:p w:rsidR="00EC5B40" w:rsidRPr="00EC5B40" w:rsidRDefault="00EC5B40">
      <w:pPr>
        <w:rPr>
          <w:sz w:val="18"/>
          <w:szCs w:val="18"/>
        </w:rPr>
      </w:pPr>
    </w:p>
    <w:sectPr w:rsidR="00EC5B40" w:rsidRPr="00EC5B40" w:rsidSect="00EC5B40">
      <w:pgSz w:w="11906" w:h="16838"/>
      <w:pgMar w:top="1440" w:right="1440" w:bottom="1440" w:left="1440" w:header="708" w:footer="708" w:gutter="0"/>
      <w:pgBorders w:offsetFrom="page">
        <w:top w:val="single" w:sz="18" w:space="24" w:color="auto"/>
        <w:left w:val="single" w:sz="18" w:space="24" w:color="auto"/>
        <w:bottom w:val="single" w:sz="18" w:space="24" w:color="auto"/>
        <w:right w:val="single" w:sz="1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2775B"/>
    <w:multiLevelType w:val="multilevel"/>
    <w:tmpl w:val="0F34C17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B40"/>
    <w:rsid w:val="00722CD3"/>
    <w:rsid w:val="00854580"/>
    <w:rsid w:val="00A2068D"/>
    <w:rsid w:val="00A22087"/>
    <w:rsid w:val="00AC3328"/>
    <w:rsid w:val="00D866F6"/>
    <w:rsid w:val="00EC5B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FCD00"/>
  <w15:chartTrackingRefBased/>
  <w15:docId w15:val="{49C32391-ED9A-4B15-BE47-B28008804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C5B40"/>
  </w:style>
  <w:style w:type="paragraph" w:styleId="Heading1">
    <w:name w:val="heading 1"/>
    <w:basedOn w:val="Normal"/>
    <w:next w:val="Normal"/>
    <w:link w:val="Heading1Char"/>
    <w:uiPriority w:val="9"/>
    <w:qFormat/>
    <w:rsid w:val="00EC5B40"/>
    <w:pPr>
      <w:keepNext/>
      <w:keepLines/>
      <w:numPr>
        <w:numId w:val="1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semiHidden/>
    <w:unhideWhenUsed/>
    <w:qFormat/>
    <w:rsid w:val="00EC5B40"/>
    <w:pPr>
      <w:keepNext/>
      <w:keepLines/>
      <w:numPr>
        <w:ilvl w:val="1"/>
        <w:numId w:val="1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EC5B40"/>
    <w:pPr>
      <w:keepNext/>
      <w:keepLines/>
      <w:numPr>
        <w:ilvl w:val="2"/>
        <w:numId w:val="10"/>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EC5B40"/>
    <w:pPr>
      <w:keepNext/>
      <w:keepLines/>
      <w:numPr>
        <w:ilvl w:val="3"/>
        <w:numId w:val="10"/>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EC5B40"/>
    <w:pPr>
      <w:keepNext/>
      <w:keepLines/>
      <w:numPr>
        <w:ilvl w:val="4"/>
        <w:numId w:val="10"/>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EC5B40"/>
    <w:pPr>
      <w:keepNext/>
      <w:keepLines/>
      <w:numPr>
        <w:ilvl w:val="5"/>
        <w:numId w:val="10"/>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EC5B40"/>
    <w:pPr>
      <w:keepNext/>
      <w:keepLines/>
      <w:numPr>
        <w:ilvl w:val="6"/>
        <w:numId w:val="10"/>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C5B40"/>
    <w:pPr>
      <w:keepNext/>
      <w:keepLines/>
      <w:numPr>
        <w:ilvl w:val="7"/>
        <w:numId w:val="10"/>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C5B40"/>
    <w:pPr>
      <w:keepNext/>
      <w:keepLines/>
      <w:numPr>
        <w:ilvl w:val="8"/>
        <w:numId w:val="1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5B40"/>
    <w:rPr>
      <w:color w:val="0563C1" w:themeColor="hyperlink"/>
      <w:u w:val="single"/>
    </w:rPr>
  </w:style>
  <w:style w:type="character" w:styleId="UnresolvedMention">
    <w:name w:val="Unresolved Mention"/>
    <w:basedOn w:val="DefaultParagraphFont"/>
    <w:uiPriority w:val="99"/>
    <w:semiHidden/>
    <w:unhideWhenUsed/>
    <w:rsid w:val="00EC5B40"/>
    <w:rPr>
      <w:color w:val="605E5C"/>
      <w:shd w:val="clear" w:color="auto" w:fill="E1DFDD"/>
    </w:rPr>
  </w:style>
  <w:style w:type="paragraph" w:styleId="Title">
    <w:name w:val="Title"/>
    <w:basedOn w:val="Normal"/>
    <w:next w:val="Normal"/>
    <w:link w:val="TitleChar"/>
    <w:uiPriority w:val="10"/>
    <w:qFormat/>
    <w:rsid w:val="00EC5B40"/>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EC5B40"/>
    <w:rPr>
      <w:rFonts w:asciiTheme="majorHAnsi" w:eastAsiaTheme="majorEastAsia" w:hAnsiTheme="majorHAnsi" w:cstheme="majorBidi"/>
      <w:color w:val="000000" w:themeColor="text1"/>
      <w:sz w:val="56"/>
      <w:szCs w:val="56"/>
    </w:rPr>
  </w:style>
  <w:style w:type="character" w:customStyle="1" w:styleId="Heading1Char">
    <w:name w:val="Heading 1 Char"/>
    <w:basedOn w:val="DefaultParagraphFont"/>
    <w:link w:val="Heading1"/>
    <w:uiPriority w:val="9"/>
    <w:rsid w:val="00EC5B40"/>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semiHidden/>
    <w:rsid w:val="00EC5B40"/>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EC5B40"/>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EC5B40"/>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EC5B40"/>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semiHidden/>
    <w:rsid w:val="00EC5B40"/>
    <w:rPr>
      <w:rFonts w:asciiTheme="majorHAnsi" w:eastAsiaTheme="majorEastAsia" w:hAnsiTheme="majorHAnsi" w:cstheme="majorBidi"/>
      <w:i/>
      <w:iCs/>
      <w:color w:val="323E4F" w:themeColor="text2" w:themeShade="BF"/>
    </w:rPr>
  </w:style>
  <w:style w:type="character" w:customStyle="1" w:styleId="Heading7Char">
    <w:name w:val="Heading 7 Char"/>
    <w:basedOn w:val="DefaultParagraphFont"/>
    <w:link w:val="Heading7"/>
    <w:uiPriority w:val="9"/>
    <w:semiHidden/>
    <w:rsid w:val="00EC5B4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C5B4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C5B40"/>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C5B40"/>
    <w:pPr>
      <w:spacing w:after="200" w:line="240" w:lineRule="auto"/>
    </w:pPr>
    <w:rPr>
      <w:i/>
      <w:iCs/>
      <w:color w:val="44546A" w:themeColor="text2"/>
      <w:sz w:val="18"/>
      <w:szCs w:val="18"/>
    </w:rPr>
  </w:style>
  <w:style w:type="paragraph" w:styleId="Subtitle">
    <w:name w:val="Subtitle"/>
    <w:basedOn w:val="Normal"/>
    <w:next w:val="Normal"/>
    <w:link w:val="SubtitleChar"/>
    <w:uiPriority w:val="11"/>
    <w:qFormat/>
    <w:rsid w:val="00EC5B40"/>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EC5B40"/>
    <w:rPr>
      <w:color w:val="5A5A5A" w:themeColor="text1" w:themeTint="A5"/>
      <w:spacing w:val="10"/>
    </w:rPr>
  </w:style>
  <w:style w:type="character" w:styleId="Strong">
    <w:name w:val="Strong"/>
    <w:basedOn w:val="DefaultParagraphFont"/>
    <w:uiPriority w:val="22"/>
    <w:qFormat/>
    <w:rsid w:val="00EC5B40"/>
    <w:rPr>
      <w:b/>
      <w:bCs/>
      <w:color w:val="000000" w:themeColor="text1"/>
    </w:rPr>
  </w:style>
  <w:style w:type="character" w:styleId="Emphasis">
    <w:name w:val="Emphasis"/>
    <w:basedOn w:val="DefaultParagraphFont"/>
    <w:uiPriority w:val="20"/>
    <w:qFormat/>
    <w:rsid w:val="00EC5B40"/>
    <w:rPr>
      <w:i/>
      <w:iCs/>
      <w:color w:val="auto"/>
    </w:rPr>
  </w:style>
  <w:style w:type="paragraph" w:styleId="NoSpacing">
    <w:name w:val="No Spacing"/>
    <w:uiPriority w:val="1"/>
    <w:qFormat/>
    <w:rsid w:val="00EC5B40"/>
    <w:pPr>
      <w:spacing w:after="0" w:line="240" w:lineRule="auto"/>
    </w:pPr>
  </w:style>
  <w:style w:type="paragraph" w:styleId="Quote">
    <w:name w:val="Quote"/>
    <w:basedOn w:val="Normal"/>
    <w:next w:val="Normal"/>
    <w:link w:val="QuoteChar"/>
    <w:uiPriority w:val="29"/>
    <w:qFormat/>
    <w:rsid w:val="00EC5B40"/>
    <w:pPr>
      <w:spacing w:before="160"/>
      <w:ind w:left="720" w:right="720"/>
    </w:pPr>
    <w:rPr>
      <w:i/>
      <w:iCs/>
      <w:color w:val="000000" w:themeColor="text1"/>
    </w:rPr>
  </w:style>
  <w:style w:type="character" w:customStyle="1" w:styleId="QuoteChar">
    <w:name w:val="Quote Char"/>
    <w:basedOn w:val="DefaultParagraphFont"/>
    <w:link w:val="Quote"/>
    <w:uiPriority w:val="29"/>
    <w:rsid w:val="00EC5B40"/>
    <w:rPr>
      <w:i/>
      <w:iCs/>
      <w:color w:val="000000" w:themeColor="text1"/>
    </w:rPr>
  </w:style>
  <w:style w:type="paragraph" w:styleId="IntenseQuote">
    <w:name w:val="Intense Quote"/>
    <w:basedOn w:val="Normal"/>
    <w:next w:val="Normal"/>
    <w:link w:val="IntenseQuoteChar"/>
    <w:uiPriority w:val="30"/>
    <w:qFormat/>
    <w:rsid w:val="00EC5B40"/>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EC5B40"/>
    <w:rPr>
      <w:color w:val="000000" w:themeColor="text1"/>
      <w:shd w:val="clear" w:color="auto" w:fill="F2F2F2" w:themeFill="background1" w:themeFillShade="F2"/>
    </w:rPr>
  </w:style>
  <w:style w:type="character" w:styleId="SubtleEmphasis">
    <w:name w:val="Subtle Emphasis"/>
    <w:basedOn w:val="DefaultParagraphFont"/>
    <w:uiPriority w:val="19"/>
    <w:qFormat/>
    <w:rsid w:val="00EC5B40"/>
    <w:rPr>
      <w:i/>
      <w:iCs/>
      <w:color w:val="404040" w:themeColor="text1" w:themeTint="BF"/>
    </w:rPr>
  </w:style>
  <w:style w:type="character" w:styleId="IntenseEmphasis">
    <w:name w:val="Intense Emphasis"/>
    <w:basedOn w:val="DefaultParagraphFont"/>
    <w:uiPriority w:val="21"/>
    <w:qFormat/>
    <w:rsid w:val="00EC5B40"/>
    <w:rPr>
      <w:b/>
      <w:bCs/>
      <w:i/>
      <w:iCs/>
      <w:caps/>
    </w:rPr>
  </w:style>
  <w:style w:type="character" w:styleId="SubtleReference">
    <w:name w:val="Subtle Reference"/>
    <w:basedOn w:val="DefaultParagraphFont"/>
    <w:uiPriority w:val="31"/>
    <w:qFormat/>
    <w:rsid w:val="00EC5B40"/>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EC5B40"/>
    <w:rPr>
      <w:b/>
      <w:bCs/>
      <w:smallCaps/>
      <w:u w:val="single"/>
    </w:rPr>
  </w:style>
  <w:style w:type="character" w:styleId="BookTitle">
    <w:name w:val="Book Title"/>
    <w:basedOn w:val="DefaultParagraphFont"/>
    <w:uiPriority w:val="33"/>
    <w:qFormat/>
    <w:rsid w:val="00EC5B40"/>
    <w:rPr>
      <w:b w:val="0"/>
      <w:bCs w:val="0"/>
      <w:smallCaps/>
      <w:spacing w:val="5"/>
    </w:rPr>
  </w:style>
  <w:style w:type="paragraph" w:styleId="TOCHeading">
    <w:name w:val="TOC Heading"/>
    <w:basedOn w:val="Heading1"/>
    <w:next w:val="Normal"/>
    <w:uiPriority w:val="39"/>
    <w:semiHidden/>
    <w:unhideWhenUsed/>
    <w:qFormat/>
    <w:rsid w:val="00EC5B4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575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quityhe.wordpress.com/2018/08/29/supporting-postgraduate-student-wellbeing-and-belonging/" TargetMode="External"/><Relationship Id="rId3" Type="http://schemas.openxmlformats.org/officeDocument/2006/relationships/settings" Target="settings.xml"/><Relationship Id="rId7" Type="http://schemas.openxmlformats.org/officeDocument/2006/relationships/hyperlink" Target="https://creativecommons.org/licenses/by-nc-nd/3.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ayfaringpath.coetail.com/2014/10/14/the-profile-of-a-modern-teacher/"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470</Words>
  <Characters>2682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Cora Beth Knowles</dc:creator>
  <cp:keywords/>
  <dc:description/>
  <cp:lastModifiedBy>Cora Beth Knowles</cp:lastModifiedBy>
  <cp:revision>2</cp:revision>
  <dcterms:created xsi:type="dcterms:W3CDTF">2019-02-19T19:59:00Z</dcterms:created>
  <dcterms:modified xsi:type="dcterms:W3CDTF">2019-02-19T21:13:00Z</dcterms:modified>
</cp:coreProperties>
</file>